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（附件可随合作机构实际情况进行调整）：</w:t>
      </w:r>
    </w:p>
    <w:p>
      <w:pPr>
        <w:spacing w:after="156" w:afterLines="50" w:line="560" w:lineRule="exact"/>
        <w:outlineLvl w:val="1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</w:t>
      </w:r>
      <w:r>
        <w:rPr>
          <w:rFonts w:ascii="仿宋_GB2312" w:hAnsi="仿宋" w:eastAsia="仿宋_GB2312"/>
          <w:b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sz w:val="32"/>
          <w:szCs w:val="32"/>
        </w:rPr>
        <w:t>：珠海基金三期拟参股子基金信息表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子基金信息表</w:t>
      </w:r>
    </w:p>
    <w:p>
      <w:pPr>
        <w:spacing w:line="560" w:lineRule="exact"/>
        <w:jc w:val="righ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</w:t>
      </w:r>
      <w:r>
        <w:rPr>
          <w:rFonts w:hint="eastAsia" w:ascii="宋体" w:hAnsi="宋体" w:cs="黑体"/>
          <w:sz w:val="24"/>
        </w:rPr>
        <w:t>公章</w:t>
      </w:r>
      <w:r>
        <w:rPr>
          <w:rFonts w:hint="eastAsia" w:ascii="黑体" w:hAnsi="黑体" w:eastAsia="黑体" w:cs="黑体"/>
          <w:sz w:val="24"/>
        </w:rPr>
        <w:t>）</w:t>
      </w:r>
    </w:p>
    <w:tbl>
      <w:tblPr>
        <w:tblStyle w:val="6"/>
        <w:tblW w:w="9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25"/>
        <w:gridCol w:w="1984"/>
        <w:gridCol w:w="1976"/>
        <w:gridCol w:w="2403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6" w:hRule="atLeast"/>
        </w:trPr>
        <w:tc>
          <w:tcPr>
            <w:tcW w:w="9341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一、合作机构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机构名称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执行事务合伙人</w:t>
            </w:r>
          </w:p>
        </w:tc>
        <w:tc>
          <w:tcPr>
            <w:tcW w:w="2410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7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注册地址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组织机构代码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5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认缴出资总额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680" w:firstLine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实缴资本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53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9341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二、子基金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7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组织形式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□公司制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□有限合伙制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注册地址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存续期限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4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投资领域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投资阶段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50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子基金类型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□直接投资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□间接投资</w:t>
            </w: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子基金规模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320" w:firstLineChars="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04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已募集资金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子基金管理机构或其关联方承诺出资及占比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出资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：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占比：</w:t>
            </w:r>
            <w:r>
              <w:rPr>
                <w:rFonts w:ascii="仿宋_GB2312" w:hAnsi="宋体" w:eastAsia="仿宋_GB2312"/>
                <w:sz w:val="24"/>
              </w:rPr>
              <w:t xml:space="preserve">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4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珠海基金三期出资金额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珠海基金三期出资比例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8" w:hRule="atLeast"/>
        </w:trPr>
        <w:tc>
          <w:tcPr>
            <w:tcW w:w="9341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三、子基金管理机构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机构名称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组织形式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□公司制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□有限合伙制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注册地址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执行事务合伙人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0" w:hRule="atLeast"/>
        </w:trPr>
        <w:tc>
          <w:tcPr>
            <w:tcW w:w="175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认缴出资总额</w:t>
            </w:r>
          </w:p>
        </w:tc>
        <w:tc>
          <w:tcPr>
            <w:tcW w:w="3209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97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实缴资本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</w:tbl>
    <w:p/>
    <w:p>
      <w:pPr>
        <w:widowControl/>
        <w:jc w:val="left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spacing w:after="156" w:afterLines="50" w:line="560" w:lineRule="exact"/>
        <w:outlineLvl w:val="1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</w:t>
      </w: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：珠海基金三期拟参股子基金合作方案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珠海基金三期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合作方案</w:t>
      </w: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联系人：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联系电话：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邮箱：</w:t>
      </w:r>
    </w:p>
    <w:p>
      <w:pPr>
        <w:spacing w:line="560" w:lineRule="exact"/>
        <w:ind w:firstLine="944" w:firstLineChars="295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t>XXX公司（盖章）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t>XXXX年XX月</w:t>
      </w:r>
    </w:p>
    <w:p>
      <w:pPr>
        <w:widowControl/>
        <w:jc w:val="left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一、基金设立背景与行业分析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二、基金概况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（一）基金名称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（二）基金管理机构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（三）基金注册地址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（四）基金规模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（五）存续期限（须注明投资期和退出期）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（六）基金组织形式及类型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（七）珠海基金三期出资额及比例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（八）基金投资领域（须注明具体行业）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（九）基金投资标的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（十）基金投资地域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（十一）基金投资限额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（十二）管理费用（须注明计算基数和费率）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（十三）收益分配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三、基金出资人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（一）基金出资架构：以表格形式列出已基本确定的出资人类型、出资人名称、认缴出资金额、出资比例等情况，以及剩余资金的募集计划及时间安排。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（二）出资人介绍：按顺序依次介绍基石投资人和其它出资人（机构或个人）的概况，如出资涉及监管部门监管或审批，需说明相关监管事项和对审批时间的预估。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四、基金管理机构和团队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（一）基金管理机构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1.基金管理机构工商注册信息、</w:t>
      </w:r>
      <w:bookmarkStart w:id="0" w:name="_Hlk31973876"/>
      <w:r>
        <w:rPr>
          <w:rFonts w:ascii="仿宋_GB2312" w:hAnsi="宋体" w:eastAsia="仿宋_GB2312"/>
          <w:sz w:val="32"/>
          <w:szCs w:val="32"/>
        </w:rPr>
        <w:t>注册资本与实收资本</w:t>
      </w:r>
      <w:bookmarkEnd w:id="0"/>
      <w:r>
        <w:rPr>
          <w:rFonts w:ascii="仿宋_GB2312" w:hAnsi="宋体" w:eastAsia="仿宋_GB2312"/>
          <w:sz w:val="32"/>
          <w:szCs w:val="32"/>
        </w:rPr>
        <w:t>、历史</w:t>
      </w:r>
      <w:r>
        <w:rPr>
          <w:rFonts w:hint="eastAsia" w:ascii="仿宋_GB2312" w:hAnsi="宋体" w:eastAsia="仿宋_GB2312"/>
          <w:sz w:val="32"/>
          <w:szCs w:val="32"/>
        </w:rPr>
        <w:t>沿革等；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bookmarkStart w:id="1" w:name="_Hlk31973803"/>
      <w:r>
        <w:rPr>
          <w:rFonts w:ascii="仿宋_GB2312" w:hAnsi="宋体" w:eastAsia="仿宋_GB2312"/>
          <w:sz w:val="32"/>
          <w:szCs w:val="32"/>
        </w:rPr>
        <w:t>股权结构、实际控制人：图表配合文字详细说明</w:t>
      </w:r>
      <w:bookmarkEnd w:id="1"/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3.内部治理架构：</w:t>
      </w:r>
      <w:r>
        <w:rPr>
          <w:rFonts w:hint="eastAsia" w:ascii="仿宋_GB2312" w:hAnsi="仿宋" w:eastAsia="仿宋_GB2312"/>
          <w:sz w:val="32"/>
          <w:szCs w:val="32"/>
        </w:rPr>
        <w:t>管理和投资运作规范，具有完整的投资决策程序、全面的风险控制机制和健全的财务管理制度；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2" w:name="_Hlk31979876"/>
      <w:r>
        <w:rPr>
          <w:rFonts w:ascii="仿宋_GB2312" w:hAnsi="宋体" w:eastAsia="仿宋_GB2312"/>
          <w:sz w:val="32"/>
          <w:szCs w:val="32"/>
        </w:rPr>
        <w:t>4.管理机构全体成员列表：图表配合文字详细说明，全体成员列表应</w:t>
      </w:r>
      <w:bookmarkStart w:id="3" w:name="_Hlk31975984"/>
      <w:r>
        <w:rPr>
          <w:rFonts w:ascii="仿宋_GB2312" w:hAnsi="宋体" w:eastAsia="仿宋_GB2312"/>
          <w:sz w:val="32"/>
          <w:szCs w:val="32"/>
        </w:rPr>
        <w:t>包括</w:t>
      </w:r>
      <w:bookmarkStart w:id="4" w:name="_Hlk31972247"/>
      <w:bookmarkStart w:id="5" w:name="_Hlk31975846"/>
      <w:r>
        <w:rPr>
          <w:rFonts w:hint="eastAsia" w:ascii="仿宋_GB2312" w:hAnsi="宋体" w:eastAsia="仿宋_GB2312"/>
          <w:sz w:val="32"/>
          <w:szCs w:val="32"/>
        </w:rPr>
        <w:t>但不限于</w:t>
      </w:r>
      <w:bookmarkEnd w:id="4"/>
      <w:r>
        <w:rPr>
          <w:rFonts w:ascii="仿宋_GB2312" w:hAnsi="宋体" w:eastAsia="仿宋_GB2312"/>
          <w:sz w:val="32"/>
          <w:szCs w:val="32"/>
        </w:rPr>
        <w:t>姓名、职务、年龄、</w:t>
      </w:r>
      <w:r>
        <w:rPr>
          <w:rFonts w:hint="eastAsia" w:ascii="仿宋_GB2312" w:hAnsi="宋体" w:eastAsia="仿宋_GB2312"/>
          <w:sz w:val="32"/>
          <w:szCs w:val="32"/>
        </w:rPr>
        <w:t>教育背景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职业经历、</w:t>
      </w:r>
      <w:r>
        <w:rPr>
          <w:rFonts w:ascii="仿宋_GB2312" w:hAnsi="宋体" w:eastAsia="仿宋_GB2312"/>
          <w:sz w:val="32"/>
          <w:szCs w:val="32"/>
        </w:rPr>
        <w:t>加入团队时间、</w:t>
      </w:r>
      <w:r>
        <w:rPr>
          <w:rFonts w:hint="eastAsia" w:ascii="仿宋_GB2312" w:hAnsi="宋体" w:eastAsia="仿宋_GB2312"/>
          <w:sz w:val="32"/>
          <w:szCs w:val="32"/>
        </w:rPr>
        <w:t>职责</w:t>
      </w:r>
      <w:r>
        <w:rPr>
          <w:rFonts w:ascii="仿宋_GB2312" w:hAnsi="宋体" w:eastAsia="仿宋_GB2312"/>
          <w:sz w:val="32"/>
          <w:szCs w:val="32"/>
        </w:rPr>
        <w:t>分工情况、合作经历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所获荣誉、代表案例</w:t>
      </w:r>
      <w:r>
        <w:rPr>
          <w:rFonts w:ascii="仿宋_GB2312" w:hAnsi="宋体" w:eastAsia="仿宋_GB2312"/>
          <w:sz w:val="32"/>
          <w:szCs w:val="32"/>
        </w:rPr>
        <w:t>等内容</w:t>
      </w:r>
      <w:bookmarkEnd w:id="2"/>
      <w:bookmarkEnd w:id="3"/>
      <w:bookmarkEnd w:id="5"/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管理</w:t>
      </w:r>
      <w:r>
        <w:rPr>
          <w:rFonts w:ascii="仿宋_GB2312" w:hAnsi="宋体" w:eastAsia="仿宋_GB2312"/>
          <w:sz w:val="32"/>
          <w:szCs w:val="32"/>
        </w:rPr>
        <w:t>机构或主要股东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普通合伙人在管基金情况：图表配合文字详细说明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基金名称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注册地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基金规模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实缴资本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投资领域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投资阶段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投资项目数量</w:t>
      </w:r>
      <w:r>
        <w:rPr>
          <w:rFonts w:hint="eastAsia" w:ascii="仿宋_GB2312" w:hAnsi="宋体" w:eastAsia="仿宋_GB2312"/>
          <w:sz w:val="32"/>
          <w:szCs w:val="32"/>
        </w:rPr>
        <w:t>及金额、退出项目数量及金额、退出方式、基金IRR，以及本基金相对于其他基金的独立性说明。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（二）基金管理团队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1.按顺序依次阐述本基金主要管理人员详细资料及履历、管理各类基金情况、主要项目投资案例及参与程度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2.提供主要管理人员之间的合作经历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3.管理团队投资项目列表，应详细列出全部已投资项目名称、投资时间、投资金额、初始股权比例、退出金额、目前持有价值、IRR、团队主要成员参与角色等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4.基金关键人安排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若选择以基金规模及成功案例认定投资能力的，请提供以下内容：子基金管理机构</w:t>
      </w:r>
      <w:r>
        <w:rPr>
          <w:rFonts w:ascii="仿宋_GB2312" w:hAnsi="宋体" w:eastAsia="仿宋_GB2312"/>
          <w:sz w:val="32"/>
          <w:szCs w:val="32"/>
        </w:rPr>
        <w:t>管理团队主要成员以骨干身份管理基金</w:t>
      </w:r>
      <w:r>
        <w:rPr>
          <w:rFonts w:hint="eastAsia" w:ascii="仿宋_GB2312" w:eastAsia="仿宋_GB2312"/>
          <w:sz w:val="32"/>
          <w:szCs w:val="32"/>
        </w:rPr>
        <w:t>所投资的成功案例，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至少</w:t>
      </w:r>
      <w:r>
        <w:rPr>
          <w:rFonts w:ascii="仿宋_GB2312" w:hAnsi="微软雅黑" w:eastAsia="仿宋_GB2312" w:cs="宋体"/>
          <w:kern w:val="0"/>
          <w:sz w:val="32"/>
          <w:szCs w:val="32"/>
        </w:rPr>
        <w:t>3个（含）以上成功投资的案例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  <w:bookmarkStart w:id="6" w:name="_Hlk31979771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成功投资的案例列表包括但不限于项目名称、所属在管基金、投资</w:t>
      </w:r>
      <w:r>
        <w:rPr>
          <w:rFonts w:ascii="仿宋_GB2312" w:hAnsi="微软雅黑" w:eastAsia="仿宋_GB2312" w:cs="宋体"/>
          <w:kern w:val="0"/>
          <w:sz w:val="32"/>
          <w:szCs w:val="32"/>
        </w:rPr>
        <w:t>/退出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日期、投资阶段、退出金额</w:t>
      </w:r>
      <w:r>
        <w:rPr>
          <w:rFonts w:ascii="仿宋_GB2312" w:hAnsi="微软雅黑" w:eastAsia="仿宋_GB2312" w:cs="宋体"/>
          <w:kern w:val="0"/>
          <w:sz w:val="32"/>
          <w:szCs w:val="32"/>
        </w:rPr>
        <w:t>/退出方式、目前持有价值、投资收益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、简要介绍该成功案例（包括不限于项目</w:t>
      </w:r>
      <w:r>
        <w:rPr>
          <w:rFonts w:ascii="仿宋_GB2312" w:hAnsi="微软雅黑" w:eastAsia="仿宋_GB2312" w:cs="宋体"/>
          <w:kern w:val="0"/>
          <w:sz w:val="32"/>
          <w:szCs w:val="32"/>
        </w:rPr>
        <w:t>/产品的介绍、核心竞争优势、投资逻辑、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退出方式、退出收益、其他主要投资者、满足成功案例的认定标准等）等内容。</w:t>
      </w:r>
    </w:p>
    <w:bookmarkEnd w:id="6"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五、基金管理和运行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（一）基金治理架构：基金股东会与董事会、合伙人会议与投资决策委员会、咨询委员会（如有）权责划分。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（二）基金投资策略：主要说明投资领域、阶段、地域、限制、闲置资金使用等。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（三）项目遴选程序：结合基金投资方向及团队构成特点，说明项目来源、项目遴选程序。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（四）投资决策机制：应详细说明投资决策机构、组成、决策方式、程序、表决机制、关联交易处理方式、珠海基金三期相关权益的特别约定等。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（五）增值服务</w:t>
      </w:r>
      <w:r>
        <w:rPr>
          <w:rFonts w:ascii="仿宋_GB2312" w:hAnsi="宋体" w:eastAsia="仿宋_GB2312"/>
          <w:sz w:val="32"/>
          <w:szCs w:val="32"/>
        </w:rPr>
        <w:t>:结合基金投资方向及团队构成特点，详细说明所能提供的增值服务，并举例说明。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（六）风险防范：结合基金投资方向及团队构成特点，列出本基金可能出现的风险，并对可能出现的风险提出应对措施。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（七）投资退出：结合基金投资方向及团队构成特点说明退出策略。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六、项目储备情况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储备项目信息（应包含项目简称、项目成立时间、项目领域、企业人数、企业总资产和年销售收入、项目简介和亮点、项目创始团队情况、计划投资金额、投资轮次、投资进度、预计回报倍数等信息）以及第一阶段的投资计划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（二）目前储备的拟投资珠海市或拟引进珠海市项目信息，除参照上述储备项目信息标准做详细说明，需说明管理机构与拟投项目的关系、接洽情况、投资可行性与可能性等。</w:t>
      </w:r>
    </w:p>
    <w:p>
      <w:pPr>
        <w:pStyle w:val="3"/>
      </w:pPr>
      <w:bookmarkStart w:id="7" w:name="_GoBack"/>
      <w:bookmarkEnd w:id="7"/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447F9"/>
    <w:multiLevelType w:val="multilevel"/>
    <w:tmpl w:val="739447F9"/>
    <w:lvl w:ilvl="0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caps/>
        <w:color w:val="auto"/>
        <w:u w:val="none"/>
      </w:rPr>
    </w:lvl>
    <w:lvl w:ilvl="1" w:tentative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2" w:tentative="0">
      <w:start w:val="1"/>
      <w:numFmt w:val="decimal"/>
      <w:lvlText w:val="%3."/>
      <w:lvlJc w:val="left"/>
      <w:pPr>
        <w:tabs>
          <w:tab w:val="left" w:pos="1080"/>
        </w:tabs>
        <w:ind w:left="0" w:firstLine="720"/>
      </w:pPr>
      <w:rPr>
        <w:rFonts w:hint="default"/>
        <w:color w:val="auto"/>
      </w:rPr>
    </w:lvl>
    <w:lvl w:ilvl="3" w:tentative="0">
      <w:start w:val="1"/>
      <w:numFmt w:val="upperLetter"/>
      <w:lvlText w:val="%4."/>
      <w:lvlJc w:val="left"/>
      <w:pPr>
        <w:tabs>
          <w:tab w:val="left" w:pos="1080"/>
        </w:tabs>
        <w:ind w:left="360" w:firstLine="360"/>
      </w:pPr>
      <w:rPr>
        <w:rFonts w:hint="default"/>
        <w:color w:val="auto"/>
      </w:rPr>
    </w:lvl>
    <w:lvl w:ilvl="4" w:tentative="0">
      <w:start w:val="1"/>
      <w:numFmt w:val="lowerLetter"/>
      <w:lvlText w:val="(%5)"/>
      <w:lvlJc w:val="left"/>
      <w:pPr>
        <w:tabs>
          <w:tab w:val="left" w:pos="1080"/>
        </w:tabs>
        <w:ind w:left="360" w:firstLine="360"/>
      </w:pPr>
      <w:rPr>
        <w:rFonts w:hint="default"/>
        <w:color w:val="auto"/>
      </w:rPr>
    </w:lvl>
    <w:lvl w:ilvl="5" w:tentative="0">
      <w:start w:val="1"/>
      <w:numFmt w:val="lowerLetter"/>
      <w:lvlText w:val="(%6)"/>
      <w:lvlJc w:val="left"/>
      <w:pPr>
        <w:tabs>
          <w:tab w:val="left" w:pos="1080"/>
        </w:tabs>
        <w:ind w:left="0" w:firstLine="7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</w:rPr>
    </w:lvl>
    <w:lvl w:ilvl="7" w:tentative="0">
      <w:start w:val="1"/>
      <w:numFmt w:val="lowerLetter"/>
      <w:lvlText w:val="(%8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8" w:tentative="0">
      <w:start w:val="1"/>
      <w:numFmt w:val="lowerLetter"/>
      <w:suff w:val="nothing"/>
      <w:lvlText w:val="%9)"/>
      <w:lvlJc w:val="left"/>
      <w:pPr>
        <w:ind w:left="43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ThjYTlhNDhlMjc5YmU0NDYxNjQzNzc2MGQwYjcifQ=="/>
  </w:docVars>
  <w:rsids>
    <w:rsidRoot w:val="222F13D4"/>
    <w:rsid w:val="02574CE3"/>
    <w:rsid w:val="222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240" w:line="280" w:lineRule="exact"/>
      <w:ind w:firstLine="720"/>
      <w:jc w:val="left"/>
    </w:pPr>
    <w:rPr>
      <w:kern w:val="0"/>
      <w:sz w:val="22"/>
      <w:szCs w:val="20"/>
      <w:lang w:eastAsia="en-US"/>
    </w:rPr>
  </w:style>
  <w:style w:type="paragraph" w:styleId="3">
    <w:name w:val="Title"/>
    <w:basedOn w:val="1"/>
    <w:next w:val="1"/>
    <w:qFormat/>
    <w:uiPriority w:val="0"/>
    <w:pPr>
      <w:keepNext/>
      <w:widowControl/>
      <w:numPr>
        <w:ilvl w:val="0"/>
        <w:numId w:val="1"/>
      </w:numPr>
      <w:spacing w:after="240"/>
      <w:jc w:val="center"/>
    </w:pPr>
    <w:rPr>
      <w:caps/>
      <w:kern w:val="28"/>
      <w:sz w:val="24"/>
      <w:szCs w:val="20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2023-11-30T03:19:00Z</dcterms:created>
  <dc:creator>Joyful</dc:creator>
  <cp:lastModifiedBy>Joyful</cp:lastModifiedBy>
  <dcterms:modified xsi:type="dcterms:W3CDTF">2023-11-30T03:21:51Z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515C3CD591304978BA8A1307D9A7C9F9_11</vt:lpwstr>
  </property>
</Properties>
</file>